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724" w:type="dxa"/>
        <w:jc w:val="center"/>
        <w:tblCellSpacing w:w="0" w:type="dxa"/>
        <w:tblInd w:w="291" w:type="dxa"/>
        <w:shd w:val="clear"/>
        <w:tblLayout w:type="fixed"/>
        <w:tblCellMar>
          <w:top w:w="0" w:type="dxa"/>
          <w:left w:w="0" w:type="dxa"/>
          <w:bottom w:w="0" w:type="dxa"/>
          <w:right w:w="0" w:type="dxa"/>
        </w:tblCellMar>
      </w:tblPr>
      <w:tblGrid>
        <w:gridCol w:w="7724"/>
      </w:tblGrid>
      <w:tr>
        <w:tblPrEx>
          <w:shd w:val="clear"/>
          <w:tblLayout w:type="fixed"/>
        </w:tblPrEx>
        <w:trPr>
          <w:tblCellSpacing w:w="0" w:type="dxa"/>
          <w:jc w:val="center"/>
        </w:trPr>
        <w:tc>
          <w:tcPr>
            <w:tcW w:w="7724"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100" w:lineRule="exact"/>
              <w:ind w:left="0" w:leftChars="0" w:right="0" w:rightChars="0" w:firstLine="0" w:firstLineChars="0"/>
              <w:jc w:val="center"/>
              <w:textAlignment w:val="auto"/>
              <w:outlineLvl w:val="9"/>
              <w:rPr>
                <w:rFonts w:hint="eastAsia" w:ascii="仿宋_GB2312" w:hAnsi="仿宋_GB2312" w:eastAsia="仿宋_GB2312" w:cs="仿宋_GB2312"/>
                <w:b/>
                <w:color w:val="454545"/>
                <w:sz w:val="32"/>
                <w:szCs w:val="32"/>
              </w:rPr>
            </w:pPr>
            <w:bookmarkStart w:id="0" w:name="_GoBack"/>
            <w:r>
              <w:rPr>
                <w:rFonts w:hint="eastAsia" w:ascii="仿宋_GB2312" w:hAnsi="仿宋_GB2312" w:eastAsia="仿宋_GB2312" w:cs="仿宋_GB2312"/>
                <w:b/>
                <w:color w:val="454545"/>
                <w:kern w:val="0"/>
                <w:sz w:val="32"/>
                <w:szCs w:val="32"/>
                <w:lang w:val="en-US" w:eastAsia="zh-CN" w:bidi="ar"/>
              </w:rPr>
              <w:t xml:space="preserve">财政部 税务总局关于创业投资企业和天使投资个人有关税收政策的通知 </w:t>
            </w:r>
            <w:r>
              <w:rPr>
                <w:rFonts w:hint="eastAsia" w:ascii="仿宋_GB2312" w:hAnsi="仿宋_GB2312" w:eastAsia="仿宋_GB2312" w:cs="仿宋_GB2312"/>
                <w:b/>
                <w:color w:val="454545"/>
                <w:kern w:val="0"/>
                <w:sz w:val="32"/>
                <w:szCs w:val="32"/>
                <w:lang w:val="en-US" w:eastAsia="zh-CN" w:bidi="ar"/>
              </w:rPr>
              <w:t xml:space="preserve">  </w:t>
            </w:r>
          </w:p>
        </w:tc>
      </w:tr>
      <w:tr>
        <w:tblPrEx>
          <w:tblLayout w:type="fixed"/>
          <w:tblCellMar>
            <w:top w:w="0" w:type="dxa"/>
            <w:left w:w="0" w:type="dxa"/>
            <w:bottom w:w="0" w:type="dxa"/>
            <w:right w:w="0" w:type="dxa"/>
          </w:tblCellMar>
        </w:tblPrEx>
        <w:trPr>
          <w:trHeight w:val="241" w:hRule="atLeast"/>
          <w:tblCellSpacing w:w="0" w:type="dxa"/>
          <w:jc w:val="center"/>
        </w:trPr>
        <w:tc>
          <w:tcPr>
            <w:tcW w:w="7724"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11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rect id="_x0000_i1025" o:spt="1" style="height:0.75pt;width:401.75pt;" fillcolor="#A0A0A0" filled="t" stroked="f" coordsize="21600,21600" o:hr="t" o:hrstd="t" o:hralign="center">
                  <v:path/>
                  <v:fill on="t" focussize="0,0"/>
                  <v:stroke on="f"/>
                  <v:imagedata o:title=""/>
                  <o:lock v:ext="edit"/>
                  <w10:wrap type="none"/>
                  <w10:anchorlock/>
                </v:rect>
              </w:pict>
            </w:r>
          </w:p>
        </w:tc>
      </w:tr>
      <w:tr>
        <w:tblPrEx>
          <w:tblLayout w:type="fixed"/>
          <w:tblCellMar>
            <w:top w:w="0" w:type="dxa"/>
            <w:left w:w="0" w:type="dxa"/>
            <w:bottom w:w="0" w:type="dxa"/>
            <w:right w:w="0" w:type="dxa"/>
          </w:tblCellMar>
        </w:tblPrEx>
        <w:trPr>
          <w:trHeight w:val="375" w:hRule="atLeast"/>
          <w:tblCellSpacing w:w="0" w:type="dxa"/>
          <w:jc w:val="center"/>
        </w:trPr>
        <w:tc>
          <w:tcPr>
            <w:tcW w:w="7724"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100" w:lineRule="exact"/>
              <w:ind w:left="0" w:leftChars="0" w:right="0" w:rightChars="0" w:firstLine="0" w:firstLineChars="0"/>
              <w:jc w:val="center"/>
              <w:textAlignment w:val="auto"/>
              <w:outlineLvl w:val="9"/>
              <w:rPr>
                <w:rFonts w:hint="eastAsia" w:ascii="仿宋_GB2312" w:hAnsi="仿宋_GB2312" w:eastAsia="仿宋_GB2312" w:cs="仿宋_GB2312"/>
                <w:b/>
                <w:color w:val="DF0000"/>
                <w:sz w:val="32"/>
                <w:szCs w:val="32"/>
              </w:rPr>
            </w:pPr>
            <w:r>
              <w:rPr>
                <w:rFonts w:hint="eastAsia" w:ascii="仿宋_GB2312" w:hAnsi="仿宋_GB2312" w:eastAsia="仿宋_GB2312" w:cs="仿宋_GB2312"/>
                <w:b/>
                <w:color w:val="DF0000"/>
                <w:kern w:val="0"/>
                <w:sz w:val="32"/>
                <w:szCs w:val="32"/>
                <w:lang w:val="en-US" w:eastAsia="zh-CN" w:bidi="ar"/>
              </w:rPr>
              <w:t>财税〔2018〕55号 </w:t>
            </w:r>
          </w:p>
        </w:tc>
      </w:tr>
      <w:tr>
        <w:tblPrEx>
          <w:tblLayout w:type="fixed"/>
          <w:tblCellMar>
            <w:top w:w="0" w:type="dxa"/>
            <w:left w:w="0" w:type="dxa"/>
            <w:bottom w:w="0" w:type="dxa"/>
            <w:right w:w="0" w:type="dxa"/>
          </w:tblCellMar>
        </w:tblPrEx>
        <w:trPr>
          <w:tblCellSpacing w:w="0" w:type="dxa"/>
          <w:jc w:val="center"/>
        </w:trPr>
        <w:tc>
          <w:tcPr>
            <w:tcW w:w="7724"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100" w:lineRule="exact"/>
              <w:ind w:left="0" w:leftChars="0" w:right="0" w:rightChars="0" w:firstLine="0" w:firstLineChars="0"/>
              <w:jc w:val="right"/>
              <w:textAlignment w:val="auto"/>
              <w:outlineLvl w:val="9"/>
              <w:rPr>
                <w:rFonts w:hint="eastAsia" w:ascii="仿宋_GB2312" w:hAnsi="仿宋_GB2312" w:eastAsia="仿宋_GB2312" w:cs="仿宋_GB2312"/>
                <w:color w:val="005DDC"/>
                <w:sz w:val="32"/>
                <w:szCs w:val="32"/>
              </w:rPr>
            </w:pPr>
            <w:r>
              <w:rPr>
                <w:rFonts w:hint="eastAsia" w:ascii="仿宋_GB2312" w:hAnsi="仿宋_GB2312" w:eastAsia="仿宋_GB2312" w:cs="仿宋_GB2312"/>
                <w:color w:val="FF0000"/>
                <w:kern w:val="0"/>
                <w:sz w:val="32"/>
                <w:szCs w:val="32"/>
                <w:lang w:val="en-US" w:eastAsia="zh-CN" w:bidi="ar"/>
              </w:rPr>
              <w:t>全文有效</w:t>
            </w:r>
            <w:r>
              <w:rPr>
                <w:rFonts w:hint="eastAsia" w:ascii="仿宋_GB2312" w:hAnsi="仿宋_GB2312" w:eastAsia="仿宋_GB2312" w:cs="仿宋_GB2312"/>
                <w:color w:val="005DDC"/>
                <w:kern w:val="0"/>
                <w:sz w:val="32"/>
                <w:szCs w:val="32"/>
                <w:lang w:val="en-US" w:eastAsia="zh-CN" w:bidi="ar"/>
              </w:rPr>
              <w:t>   成文日期：2018-05-14</w:t>
            </w:r>
          </w:p>
        </w:tc>
      </w:tr>
      <w:tr>
        <w:tblPrEx>
          <w:tblLayout w:type="fixed"/>
          <w:tblCellMar>
            <w:top w:w="0" w:type="dxa"/>
            <w:left w:w="0" w:type="dxa"/>
            <w:bottom w:w="0" w:type="dxa"/>
            <w:right w:w="0" w:type="dxa"/>
          </w:tblCellMar>
        </w:tblPrEx>
        <w:trPr>
          <w:tblCellSpacing w:w="0" w:type="dxa"/>
          <w:jc w:val="center"/>
        </w:trPr>
        <w:tc>
          <w:tcPr>
            <w:tcW w:w="7724" w:type="dxa"/>
            <w:shd w:val="clear"/>
            <w:tcMar>
              <w:top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100" w:lineRule="exact"/>
              <w:ind w:left="0" w:leftChars="0" w:right="0" w:rightChars="0" w:firstLine="0" w:firstLineChars="0"/>
              <w:jc w:val="center"/>
              <w:textAlignment w:val="auto"/>
              <w:outlineLvl w:val="9"/>
              <w:rPr>
                <w:rFonts w:hint="eastAsia" w:ascii="仿宋_GB2312" w:hAnsi="仿宋_GB2312" w:eastAsia="仿宋_GB2312" w:cs="仿宋_GB2312"/>
                <w:b/>
                <w:color w:val="111111"/>
                <w:sz w:val="32"/>
                <w:szCs w:val="32"/>
              </w:rPr>
            </w:pPr>
            <w:r>
              <w:rPr>
                <w:rFonts w:hint="eastAsia" w:ascii="仿宋_GB2312" w:hAnsi="仿宋_GB2312" w:eastAsia="仿宋_GB2312" w:cs="仿宋_GB2312"/>
                <w:b/>
                <w:color w:val="111111"/>
                <w:kern w:val="0"/>
                <w:sz w:val="32"/>
                <w:szCs w:val="32"/>
                <w:lang w:val="en-US" w:eastAsia="zh-CN" w:bidi="ar"/>
              </w:rPr>
              <w:t xml:space="preserve">  </w:t>
            </w: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1100" w:lineRule="exact"/>
        <w:ind w:left="0" w:leftChars="0" w:right="0" w:rightChars="0" w:firstLine="0" w:firstLineChars="0"/>
        <w:textAlignment w:val="auto"/>
        <w:outlineLvl w:val="9"/>
        <w:rPr>
          <w:rFonts w:hint="eastAsia" w:ascii="仿宋_GB2312" w:hAnsi="仿宋_GB2312" w:eastAsia="仿宋_GB2312" w:cs="仿宋_GB2312"/>
          <w:vanish/>
          <w:sz w:val="32"/>
          <w:szCs w:val="32"/>
        </w:rPr>
      </w:pPr>
    </w:p>
    <w:tbl>
      <w:tblPr>
        <w:tblW w:w="7724" w:type="dxa"/>
        <w:jc w:val="center"/>
        <w:tblCellSpacing w:w="0" w:type="dxa"/>
        <w:tblInd w:w="291" w:type="dxa"/>
        <w:shd w:val="clear"/>
        <w:tblLayout w:type="fixed"/>
        <w:tblCellMar>
          <w:top w:w="0" w:type="dxa"/>
          <w:left w:w="0" w:type="dxa"/>
          <w:bottom w:w="0" w:type="dxa"/>
          <w:right w:w="0" w:type="dxa"/>
        </w:tblCellMar>
      </w:tblPr>
      <w:tblGrid>
        <w:gridCol w:w="7724"/>
      </w:tblGrid>
      <w:tr>
        <w:tblPrEx>
          <w:shd w:val="clear"/>
          <w:tblLayout w:type="fixed"/>
          <w:tblCellMar>
            <w:top w:w="0" w:type="dxa"/>
            <w:left w:w="0" w:type="dxa"/>
            <w:bottom w:w="0" w:type="dxa"/>
            <w:right w:w="0" w:type="dxa"/>
          </w:tblCellMar>
        </w:tblPrEx>
        <w:trPr>
          <w:tblCellSpacing w:w="0" w:type="dxa"/>
          <w:jc w:val="center"/>
        </w:trPr>
        <w:tc>
          <w:tcPr>
            <w:tcW w:w="7724"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100" w:lineRule="exact"/>
              <w:ind w:left="0" w:leftChars="0" w:right="0" w:rightChars="0" w:firstLine="0" w:firstLineChars="0"/>
              <w:jc w:val="right"/>
              <w:textAlignment w:val="auto"/>
              <w:outlineLvl w:val="9"/>
              <w:rPr>
                <w:rFonts w:hint="eastAsia" w:ascii="仿宋_GB2312" w:hAnsi="仿宋_GB2312" w:eastAsia="仿宋_GB2312" w:cs="仿宋_GB2312"/>
                <w:color w:val="005DDC"/>
                <w:sz w:val="32"/>
                <w:szCs w:val="32"/>
              </w:rPr>
            </w:pPr>
            <w:r>
              <w:rPr>
                <w:rFonts w:hint="eastAsia" w:ascii="仿宋_GB2312" w:hAnsi="仿宋_GB2312" w:eastAsia="仿宋_GB2312" w:cs="仿宋_GB2312"/>
                <w:color w:val="005DDC"/>
                <w:kern w:val="0"/>
                <w:sz w:val="32"/>
                <w:szCs w:val="32"/>
                <w:lang w:val="en-US" w:eastAsia="zh-CN" w:bidi="ar"/>
              </w:rPr>
              <w:t>字体： 【</w:t>
            </w:r>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"http://130.9.1.168/guoshui/action/GetArticleView1.do?id=483715&amp;flag=1" </w:instrText>
            </w:r>
            <w:r>
              <w:rPr>
                <w:rFonts w:hint="eastAsia" w:ascii="仿宋_GB2312" w:hAnsi="仿宋_GB2312" w:eastAsia="仿宋_GB2312" w:cs="仿宋_GB2312"/>
                <w:kern w:val="0"/>
                <w:sz w:val="32"/>
                <w:szCs w:val="32"/>
                <w:lang w:val="en-US" w:eastAsia="zh-CN" w:bidi="ar"/>
              </w:rPr>
              <w:fldChar w:fldCharType="separate"/>
            </w:r>
            <w:r>
              <w:rPr>
                <w:rStyle w:val="6"/>
                <w:rFonts w:hint="eastAsia" w:ascii="仿宋_GB2312" w:hAnsi="仿宋_GB2312" w:eastAsia="仿宋_GB2312" w:cs="仿宋_GB2312"/>
                <w:sz w:val="32"/>
                <w:szCs w:val="32"/>
              </w:rPr>
              <w:t>大</w:t>
            </w:r>
            <w:r>
              <w:rPr>
                <w:rFonts w:hint="eastAsia" w:ascii="仿宋_GB2312" w:hAnsi="仿宋_GB2312" w:eastAsia="仿宋_GB2312" w:cs="仿宋_GB2312"/>
                <w:kern w:val="0"/>
                <w:sz w:val="32"/>
                <w:szCs w:val="32"/>
                <w:lang w:val="en-US" w:eastAsia="zh-CN" w:bidi="ar"/>
              </w:rPr>
              <w:fldChar w:fldCharType="end"/>
            </w:r>
            <w:r>
              <w:rPr>
                <w:rFonts w:hint="eastAsia" w:ascii="仿宋_GB2312" w:hAnsi="仿宋_GB2312" w:eastAsia="仿宋_GB2312" w:cs="仿宋_GB2312"/>
                <w:color w:val="005DDC"/>
                <w:kern w:val="0"/>
                <w:sz w:val="32"/>
                <w:szCs w:val="32"/>
                <w:lang w:val="en-US" w:eastAsia="zh-CN" w:bidi="ar"/>
              </w:rPr>
              <w:t>】 【</w:t>
            </w:r>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"http://130.9.1.168/guoshui/action/GetArticleView1.do?id=483715&amp;flag=1" </w:instrText>
            </w:r>
            <w:r>
              <w:rPr>
                <w:rFonts w:hint="eastAsia" w:ascii="仿宋_GB2312" w:hAnsi="仿宋_GB2312" w:eastAsia="仿宋_GB2312" w:cs="仿宋_GB2312"/>
                <w:kern w:val="0"/>
                <w:sz w:val="32"/>
                <w:szCs w:val="32"/>
                <w:lang w:val="en-US" w:eastAsia="zh-CN" w:bidi="ar"/>
              </w:rPr>
              <w:fldChar w:fldCharType="separate"/>
            </w:r>
            <w:r>
              <w:rPr>
                <w:rStyle w:val="6"/>
                <w:rFonts w:hint="eastAsia" w:ascii="仿宋_GB2312" w:hAnsi="仿宋_GB2312" w:eastAsia="仿宋_GB2312" w:cs="仿宋_GB2312"/>
                <w:sz w:val="32"/>
                <w:szCs w:val="32"/>
              </w:rPr>
              <w:t>中</w:t>
            </w:r>
            <w:r>
              <w:rPr>
                <w:rFonts w:hint="eastAsia" w:ascii="仿宋_GB2312" w:hAnsi="仿宋_GB2312" w:eastAsia="仿宋_GB2312" w:cs="仿宋_GB2312"/>
                <w:kern w:val="0"/>
                <w:sz w:val="32"/>
                <w:szCs w:val="32"/>
                <w:lang w:val="en-US" w:eastAsia="zh-CN" w:bidi="ar"/>
              </w:rPr>
              <w:fldChar w:fldCharType="end"/>
            </w:r>
            <w:r>
              <w:rPr>
                <w:rFonts w:hint="eastAsia" w:ascii="仿宋_GB2312" w:hAnsi="仿宋_GB2312" w:eastAsia="仿宋_GB2312" w:cs="仿宋_GB2312"/>
                <w:color w:val="005DDC"/>
                <w:kern w:val="0"/>
                <w:sz w:val="32"/>
                <w:szCs w:val="32"/>
                <w:lang w:val="en-US" w:eastAsia="zh-CN" w:bidi="ar"/>
              </w:rPr>
              <w:t>】 【</w:t>
            </w:r>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"http://130.9.1.168/guoshui/action/GetArticleView1.do?id=483715&amp;flag=1" </w:instrText>
            </w:r>
            <w:r>
              <w:rPr>
                <w:rFonts w:hint="eastAsia" w:ascii="仿宋_GB2312" w:hAnsi="仿宋_GB2312" w:eastAsia="仿宋_GB2312" w:cs="仿宋_GB2312"/>
                <w:kern w:val="0"/>
                <w:sz w:val="32"/>
                <w:szCs w:val="32"/>
                <w:lang w:val="en-US" w:eastAsia="zh-CN" w:bidi="ar"/>
              </w:rPr>
              <w:fldChar w:fldCharType="separate"/>
            </w:r>
            <w:r>
              <w:rPr>
                <w:rStyle w:val="6"/>
                <w:rFonts w:hint="eastAsia" w:ascii="仿宋_GB2312" w:hAnsi="仿宋_GB2312" w:eastAsia="仿宋_GB2312" w:cs="仿宋_GB2312"/>
                <w:sz w:val="32"/>
                <w:szCs w:val="32"/>
              </w:rPr>
              <w:t>小</w:t>
            </w:r>
            <w:r>
              <w:rPr>
                <w:rFonts w:hint="eastAsia" w:ascii="仿宋_GB2312" w:hAnsi="仿宋_GB2312" w:eastAsia="仿宋_GB2312" w:cs="仿宋_GB2312"/>
                <w:kern w:val="0"/>
                <w:sz w:val="32"/>
                <w:szCs w:val="32"/>
                <w:lang w:val="en-US" w:eastAsia="zh-CN" w:bidi="ar"/>
              </w:rPr>
              <w:fldChar w:fldCharType="end"/>
            </w:r>
            <w:r>
              <w:rPr>
                <w:rFonts w:hint="eastAsia" w:ascii="仿宋_GB2312" w:hAnsi="仿宋_GB2312" w:eastAsia="仿宋_GB2312" w:cs="仿宋_GB2312"/>
                <w:color w:val="005DDC"/>
                <w:kern w:val="0"/>
                <w:sz w:val="32"/>
                <w:szCs w:val="32"/>
                <w:lang w:val="en-US" w:eastAsia="zh-CN" w:bidi="ar"/>
              </w:rPr>
              <w:t xml:space="preserve">】 </w:t>
            </w: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1100" w:lineRule="exact"/>
        <w:ind w:left="0" w:leftChars="0" w:right="0" w:rightChars="0" w:firstLine="0" w:firstLineChars="0"/>
        <w:textAlignment w:val="auto"/>
        <w:outlineLvl w:val="9"/>
        <w:rPr>
          <w:rFonts w:hint="eastAsia" w:ascii="仿宋_GB2312" w:hAnsi="仿宋_GB2312" w:eastAsia="仿宋_GB2312" w:cs="仿宋_GB2312"/>
          <w:vanish/>
          <w:sz w:val="32"/>
          <w:szCs w:val="32"/>
        </w:rPr>
      </w:pPr>
    </w:p>
    <w:tbl>
      <w:tblPr>
        <w:tblW w:w="7890" w:type="dxa"/>
        <w:jc w:val="center"/>
        <w:tblCellSpacing w:w="0" w:type="dxa"/>
        <w:tblInd w:w="208" w:type="dxa"/>
        <w:shd w:val="clear"/>
        <w:tblLayout w:type="fixed"/>
        <w:tblCellMar>
          <w:top w:w="0" w:type="dxa"/>
          <w:left w:w="0" w:type="dxa"/>
          <w:bottom w:w="0" w:type="dxa"/>
          <w:right w:w="0" w:type="dxa"/>
        </w:tblCellMar>
      </w:tblPr>
      <w:tblGrid>
        <w:gridCol w:w="7890"/>
      </w:tblGrid>
      <w:tr>
        <w:tblPrEx>
          <w:shd w:val="clear"/>
          <w:tblLayout w:type="fixed"/>
          <w:tblCellMar>
            <w:top w:w="0" w:type="dxa"/>
            <w:left w:w="0" w:type="dxa"/>
            <w:bottom w:w="0" w:type="dxa"/>
            <w:right w:w="0" w:type="dxa"/>
          </w:tblCellMar>
        </w:tblPrEx>
        <w:trPr>
          <w:tblCellSpacing w:w="0" w:type="dxa"/>
          <w:jc w:val="center"/>
        </w:trPr>
        <w:tc>
          <w:tcPr>
            <w:tcW w:w="7890" w:type="dxa"/>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各省、自治区、直辖市、计划单列市财政厅（局）、国家税务局、地方税务局，新疆生产建设兵团财政局：</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为进一步支持创业投资发展，现就创业投资企业和天使投资个人有关税收政策问题通知如下：</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Style w:val="4"/>
                <w:rFonts w:hint="eastAsia" w:ascii="仿宋_GB2312" w:hAnsi="仿宋_GB2312" w:eastAsia="仿宋_GB2312" w:cs="仿宋_GB2312"/>
                <w:color w:val="000000"/>
                <w:sz w:val="32"/>
                <w:szCs w:val="32"/>
              </w:rPr>
              <w:t>一、税收政策内容</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（二）有限合伙制创业投资企业（以下简称合伙创投企业）采取股权投资方式直接投资于初创科技型企业满2年的，该合伙创投企业的合伙人分别按以下方式处理：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1.法人合伙人可以按照对初创科技型企业投资额的70%抵扣法人合伙人从合伙创投企业分得的所得；当年不足抵扣的，可以在以后纳税年度结转抵扣。</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2.个人合伙人可以按照对初创科技型企业投资额的70%抵扣个人合伙人从合伙创投企业分得的经营所得；当年不足抵扣的，可以在以后纳税年度结转抵扣。</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天使投资个人投资多个初创科技型企业的，对其中办理注销清算的初创科技型企业，天使投资个人对其投资额的70%尚未抵扣完的，可自注销清算之日起36个月内抵扣天使投资个人转让其他初创科技型企业股权取得的应纳税所得额。</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Style w:val="4"/>
                <w:rFonts w:hint="eastAsia" w:ascii="仿宋_GB2312" w:hAnsi="仿宋_GB2312" w:eastAsia="仿宋_GB2312" w:cs="仿宋_GB2312"/>
                <w:color w:val="000000"/>
                <w:sz w:val="32"/>
                <w:szCs w:val="32"/>
              </w:rPr>
              <w:t>二、相关政策条件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（一）本通知所称初创科技型企业，应同时符合以下条件：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1.在中国境内（不包括港、澳、台地区）注册成立、实行查账征收的居民企业；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2.接受投资时，从业人数不超过200人，其中具有大学本科以上学历的从业人数不低于30%；资产总额和年销售收入均不超过3000万元；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3.接受投资时设立时间不超过5年（60个月）；</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4.接受投资时以及接受投资后2年内未在境内外证券交易所上市；</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5.接受投资当年及下一纳税年度，研发费用总额占成本费用支出的比例不低于20%。</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（二）享受本通知规定税收政策的创业投资企业，应同时符合以下条件：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1.在中国境内（不含港、澳、台地区）注册成立、实行查账征收的居民企业或合伙创投企业，且不属于被投资初创科技型企业的发起人；</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2.符合《创业投资企业管理暂行办法》（发展改革委等10部门令第39号）规定或者《私募投资基金监督管理暂行办法》（证监会令第105号）关于创业投资基金的特别规定，按照上述规定完成备案且规范运作；</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3.投资后2年内，创业投资企业及其关联方持有被投资初创科技型企业的股权比例合计应低于50%。</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（三）享受本通知规定的税收政策的天使投资个人，应同时符合以下条件：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1.不属于被投资初创科技型企业的发起人、雇员或其亲属（包括配偶、父母、子女、祖父母、外祖父母、孙子女、外孙子女、兄弟姐妹，下同），且与被投资初创科技型企业不存在劳务派遣等关系；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2.投资后2年内，本人及其亲属持有被投资初创科技型企业股权比例合计应低于50%。</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（四）享受本通知规定的税收政策的投资，仅限于通过向被投资初创科技型企业直接支付现金方式取得的股权投资，不包括受让其他股东的存量股权。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Style w:val="4"/>
                <w:rFonts w:hint="eastAsia" w:ascii="仿宋_GB2312" w:hAnsi="仿宋_GB2312" w:eastAsia="仿宋_GB2312" w:cs="仿宋_GB2312"/>
                <w:color w:val="000000"/>
                <w:sz w:val="32"/>
                <w:szCs w:val="32"/>
              </w:rPr>
              <w:t>三、管理事项及管理要求</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（一）本通知所称研发费用口径，按照《财政部 国家税务总局 科技部关于完善研究开发费用税前加计扣除政策的通知》（财税〔2015〕119号）等规定执行。</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（二）本通知所称从业人数，包括与企业建立劳动关系的职工人员及企业接受的劳务派遣人员。从业人数和资产总额指标，按照企业接受投资前连续12个月的平均数计算，不足12个月的，按实际月数平均计算。</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本通知所称销售收入，包括主营业务收入与其他业务收入；年销售收入指标，按照企业接受投资前连续12个月的累计数计算，不足12个月的，按实际月数累计计算。</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本通知所称成本费用，包括主营业务成本、其他业务成本、销售费用、管理费用、财务费用。</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（三）本通知所称投资额，按照创业投资企业或天使投资个人对初创科技型企业的实缴投资额确定。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合伙创投企业的合伙人对初创科技型企业的投资额，按照合伙创投企业对初创科技型企业的实缴投资额和合伙协议约定的合伙人占合伙创投企业的出资比例计算确定。合伙人从合伙创投企业分得的所得，按照《财政部  国家税务总局关于合伙企业合伙人所得税问题的通知》（财税〔2008〕159号）规定计算。</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（四）天使投资个人、公司制创业投资企业、合伙创投企业、合伙创投企业法人合伙人、被投资初创科技型企业应按规定办理优惠手续。</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五）初创科技型企业接受天使投资个人投资满2年，在上海证券交易所、深圳证券交易所上市的，天使投资个人转让该企业股票时，按照现行限售股有关规定执行，其尚未抵扣的投资额，在税款清算时一并计算抵扣。</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六）享受本通知规定的税收政策的纳税人，其主管税务机关对被投资企业是否符合初创科技型企业条件有异议的，可以转请被投资企业主管税务机关提供相关材料。对纳税人提供虚假资料，违规享受税收政策的，应按税收征管法相关规定处理，并将其列入失信纳税人名单，按规定实施联合惩戒措施。</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Style w:val="4"/>
                <w:rFonts w:hint="eastAsia" w:ascii="仿宋_GB2312" w:hAnsi="仿宋_GB2312" w:eastAsia="仿宋_GB2312" w:cs="仿宋_GB2312"/>
                <w:color w:val="000000"/>
                <w:sz w:val="32"/>
                <w:szCs w:val="32"/>
              </w:rPr>
              <w:t>四、执行时间</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本通知规定的天使投资个人所得税政策自2018年7月1日起执行，其他各项政策自2018年1月1日起执行。执行日期前2年内发生的投资，在执行日期后投资满2年，且符合本通知规定的其他条件的，可以适用本通知规定的税收政策。</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《财政部 税务总局关于创业投资企业和天使投资个人有关税收试点政策的通知》（财税〔2017〕38号）自2018年7月1日起废止，符合试点政策条件的投资额可按本通知的规定继续抵扣。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财政部 税务总局</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2018年5月14日</w:t>
            </w: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1100" w:lineRule="exact"/>
        <w:ind w:left="0" w:leftChars="0" w:right="0" w:rightChars="0" w:firstLine="0" w:firstLineChars="0"/>
        <w:textAlignment w:val="auto"/>
        <w:outlineLvl w:val="9"/>
        <w:rPr>
          <w:rFonts w:hint="eastAsia" w:ascii="仿宋_GB2312" w:hAnsi="仿宋_GB2312" w:eastAsia="仿宋_GB2312" w:cs="仿宋_GB2312"/>
          <w:vanish/>
          <w:sz w:val="32"/>
          <w:szCs w:val="32"/>
        </w:rPr>
      </w:pPr>
    </w:p>
    <w:tbl>
      <w:tblPr>
        <w:tblW w:w="7890" w:type="dxa"/>
        <w:jc w:val="center"/>
        <w:tblCellSpacing w:w="0" w:type="dxa"/>
        <w:tblInd w:w="208" w:type="dxa"/>
        <w:shd w:val="clear"/>
        <w:tblLayout w:type="fixed"/>
        <w:tblCellMar>
          <w:top w:w="0" w:type="dxa"/>
          <w:left w:w="0" w:type="dxa"/>
          <w:bottom w:w="0" w:type="dxa"/>
          <w:right w:w="0" w:type="dxa"/>
        </w:tblCellMar>
      </w:tblPr>
      <w:tblGrid>
        <w:gridCol w:w="7890"/>
      </w:tblGrid>
      <w:tr>
        <w:tblPrEx>
          <w:shd w:val="clear"/>
          <w:tblLayout w:type="fixed"/>
          <w:tblCellMar>
            <w:top w:w="0" w:type="dxa"/>
            <w:left w:w="0" w:type="dxa"/>
            <w:bottom w:w="0" w:type="dxa"/>
            <w:right w:w="0" w:type="dxa"/>
          </w:tblCellMar>
        </w:tblPrEx>
        <w:trPr>
          <w:tblCellSpacing w:w="0" w:type="dxa"/>
          <w:jc w:val="center"/>
        </w:trPr>
        <w:tc>
          <w:tcPr>
            <w:tcW w:w="78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100" w:lineRule="exact"/>
              <w:ind w:left="0" w:leftChars="0" w:right="0" w:rightChars="0" w:firstLine="0" w:firstLineChars="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bidi="ar"/>
              </w:rPr>
              <w:t xml:space="preserve">  </w:t>
            </w:r>
          </w:p>
        </w:tc>
      </w:tr>
      <w:tr>
        <w:tblPrEx>
          <w:tblLayout w:type="fixed"/>
          <w:tblCellMar>
            <w:top w:w="0" w:type="dxa"/>
            <w:left w:w="0" w:type="dxa"/>
            <w:bottom w:w="0" w:type="dxa"/>
            <w:right w:w="0" w:type="dxa"/>
          </w:tblCellMar>
        </w:tblPrEx>
        <w:trPr>
          <w:tblCellSpacing w:w="0" w:type="dxa"/>
          <w:jc w:val="center"/>
        </w:trPr>
        <w:tc>
          <w:tcPr>
            <w:tcW w:w="78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100" w:lineRule="exact"/>
              <w:ind w:left="0" w:leftChars="0" w:right="0" w:rightChars="0" w:firstLine="0" w:firstLineChars="0"/>
              <w:jc w:val="center"/>
              <w:textAlignment w:val="auto"/>
              <w:outlineLvl w:val="9"/>
              <w:rPr>
                <w:rFonts w:hint="eastAsia" w:ascii="仿宋_GB2312" w:hAnsi="仿宋_GB2312" w:eastAsia="仿宋_GB2312" w:cs="仿宋_GB2312"/>
                <w:color w:val="005DDC"/>
                <w:sz w:val="32"/>
                <w:szCs w:val="32"/>
              </w:rPr>
            </w:pPr>
            <w:r>
              <w:rPr>
                <w:rFonts w:hint="eastAsia" w:ascii="仿宋_GB2312" w:hAnsi="仿宋_GB2312" w:eastAsia="仿宋_GB2312" w:cs="仿宋_GB2312"/>
                <w:color w:val="005DDC"/>
                <w:kern w:val="0"/>
                <w:sz w:val="32"/>
                <w:szCs w:val="32"/>
                <w:lang w:val="en-US" w:eastAsia="zh-CN" w:bidi="ar"/>
              </w:rPr>
              <w:t>【</w:t>
            </w:r>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"http://130.9.1.168/guoshui/action/javascript:window.print()" </w:instrText>
            </w:r>
            <w:r>
              <w:rPr>
                <w:rFonts w:hint="eastAsia" w:ascii="仿宋_GB2312" w:hAnsi="仿宋_GB2312" w:eastAsia="仿宋_GB2312" w:cs="仿宋_GB2312"/>
                <w:kern w:val="0"/>
                <w:sz w:val="32"/>
                <w:szCs w:val="32"/>
                <w:lang w:val="en-US" w:eastAsia="zh-CN" w:bidi="ar"/>
              </w:rPr>
              <w:fldChar w:fldCharType="separate"/>
            </w:r>
            <w:r>
              <w:rPr>
                <w:rStyle w:val="6"/>
                <w:rFonts w:hint="eastAsia" w:ascii="仿宋_GB2312" w:hAnsi="仿宋_GB2312" w:eastAsia="仿宋_GB2312" w:cs="仿宋_GB2312"/>
                <w:sz w:val="32"/>
                <w:szCs w:val="32"/>
              </w:rPr>
              <w:t xml:space="preserve"> 打印</w:t>
            </w:r>
            <w:r>
              <w:rPr>
                <w:rFonts w:hint="eastAsia" w:ascii="仿宋_GB2312" w:hAnsi="仿宋_GB2312" w:eastAsia="仿宋_GB2312" w:cs="仿宋_GB2312"/>
                <w:kern w:val="0"/>
                <w:sz w:val="32"/>
                <w:szCs w:val="32"/>
                <w:lang w:val="en-US" w:eastAsia="zh-CN" w:bidi="ar"/>
              </w:rPr>
              <w:fldChar w:fldCharType="end"/>
            </w:r>
            <w:r>
              <w:rPr>
                <w:rFonts w:hint="eastAsia" w:ascii="仿宋_GB2312" w:hAnsi="仿宋_GB2312" w:eastAsia="仿宋_GB2312" w:cs="仿宋_GB2312"/>
                <w:color w:val="005DDC"/>
                <w:kern w:val="0"/>
                <w:sz w:val="32"/>
                <w:szCs w:val="32"/>
                <w:lang w:val="en-US" w:eastAsia="zh-CN" w:bidi="ar"/>
              </w:rPr>
              <w:t>】 【</w:t>
            </w:r>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"http://130.9.1.168/guoshui/action/javascript:close()" </w:instrText>
            </w:r>
            <w:r>
              <w:rPr>
                <w:rFonts w:hint="eastAsia" w:ascii="仿宋_GB2312" w:hAnsi="仿宋_GB2312" w:eastAsia="仿宋_GB2312" w:cs="仿宋_GB2312"/>
                <w:kern w:val="0"/>
                <w:sz w:val="32"/>
                <w:szCs w:val="32"/>
                <w:lang w:val="en-US" w:eastAsia="zh-CN" w:bidi="ar"/>
              </w:rPr>
              <w:fldChar w:fldCharType="separate"/>
            </w:r>
            <w:r>
              <w:rPr>
                <w:rStyle w:val="6"/>
                <w:rFonts w:hint="eastAsia" w:ascii="仿宋_GB2312" w:hAnsi="仿宋_GB2312" w:eastAsia="仿宋_GB2312" w:cs="仿宋_GB2312"/>
                <w:sz w:val="32"/>
                <w:szCs w:val="32"/>
              </w:rPr>
              <w:t>关闭窗口</w:t>
            </w:r>
            <w:r>
              <w:rPr>
                <w:rFonts w:hint="eastAsia" w:ascii="仿宋_GB2312" w:hAnsi="仿宋_GB2312" w:eastAsia="仿宋_GB2312" w:cs="仿宋_GB2312"/>
                <w:kern w:val="0"/>
                <w:sz w:val="32"/>
                <w:szCs w:val="32"/>
                <w:lang w:val="en-US" w:eastAsia="zh-CN" w:bidi="ar"/>
              </w:rPr>
              <w:fldChar w:fldCharType="end"/>
            </w:r>
            <w:r>
              <w:rPr>
                <w:rFonts w:hint="eastAsia" w:ascii="仿宋_GB2312" w:hAnsi="仿宋_GB2312" w:eastAsia="仿宋_GB2312" w:cs="仿宋_GB2312"/>
                <w:color w:val="005DDC"/>
                <w:kern w:val="0"/>
                <w:sz w:val="32"/>
                <w:szCs w:val="32"/>
                <w:lang w:val="en-US" w:eastAsia="zh-CN" w:bidi="ar"/>
              </w:rPr>
              <w:t xml:space="preserve">】 </w:t>
            </w:r>
          </w:p>
        </w:tc>
      </w:tr>
    </w:tbl>
    <w:p>
      <w:pPr>
        <w:keepNext w:val="0"/>
        <w:keepLines w:val="0"/>
        <w:pageBreakBefore w:val="0"/>
        <w:kinsoku/>
        <w:wordWrap/>
        <w:overflowPunct/>
        <w:topLinePunct w:val="0"/>
        <w:autoSpaceDE/>
        <w:autoSpaceDN/>
        <w:bidi w:val="0"/>
        <w:adjustRightInd/>
        <w:snapToGrid/>
        <w:spacing w:beforeAutospacing="0" w:afterAutospacing="0" w:line="1100" w:lineRule="exact"/>
        <w:ind w:left="0" w:leftChars="0" w:right="0" w:rightChars="0" w:firstLine="0" w:firstLineChars="0"/>
        <w:textAlignment w:val="auto"/>
        <w:outlineLvl w:val="9"/>
        <w:rPr>
          <w:rFonts w:hint="eastAsia" w:ascii="仿宋_GB2312" w:hAnsi="仿宋_GB2312" w:eastAsia="仿宋_GB2312" w:cs="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04218"/>
    <w:rsid w:val="3F50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222222"/>
      <w:sz w:val="18"/>
      <w:szCs w:val="18"/>
      <w:u w:val="none"/>
    </w:rPr>
  </w:style>
  <w:style w:type="character" w:styleId="6">
    <w:name w:val="Hyperlink"/>
    <w:basedOn w:val="3"/>
    <w:uiPriority w:val="0"/>
    <w:rPr>
      <w:color w:val="222222"/>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2019-11-26T07:31:00Z</dcterms:created>
  <dc:creator> </dc:creator>
  <cp:lastModifiedBy> </cp:lastModifiedBy>
  <dcterms:modified xsi:type="dcterms:W3CDTF">2019-11-26T07:33:36Z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